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BF3" w:rsidRDefault="00E61BF3">
      <w:bookmarkStart w:id="0" w:name="_GoBack"/>
      <w:bookmarkEnd w:id="0"/>
      <w:r>
        <w:t>Chris,</w:t>
      </w:r>
    </w:p>
    <w:p w:rsidR="00E61BF3" w:rsidRDefault="00E61BF3">
      <w:r>
        <w:t>Below are last years’ sales figures, broken down by representative. As you can see, we’re climbing steadily from the previous years’ figures, even after our supplier problems over the summer.</w:t>
      </w:r>
      <w:r w:rsidR="00C2418C">
        <w:t xml:space="preserve"> </w:t>
      </w:r>
    </w:p>
    <w:tbl>
      <w:tblPr>
        <w:tblW w:w="7280" w:type="dxa"/>
        <w:tblInd w:w="93" w:type="dxa"/>
        <w:tblLook w:val="04A0" w:firstRow="1" w:lastRow="0" w:firstColumn="1" w:lastColumn="0" w:noHBand="0" w:noVBand="1"/>
      </w:tblPr>
      <w:tblGrid>
        <w:gridCol w:w="1188"/>
        <w:gridCol w:w="1337"/>
        <w:gridCol w:w="973"/>
        <w:gridCol w:w="1426"/>
        <w:gridCol w:w="1169"/>
        <w:gridCol w:w="1187"/>
      </w:tblGrid>
      <w:tr w:rsidR="00E61BF3" w:rsidRPr="00E61BF3" w:rsidTr="00E61BF3">
        <w:trPr>
          <w:trHeight w:val="420"/>
        </w:trPr>
        <w:tc>
          <w:tcPr>
            <w:tcW w:w="72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E61BF3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Sales by Representative</w:t>
            </w:r>
          </w:p>
        </w:tc>
      </w:tr>
      <w:tr w:rsidR="00E61BF3" w:rsidRPr="00E61BF3" w:rsidTr="00E61BF3">
        <w:trPr>
          <w:trHeight w:val="300"/>
        </w:trPr>
        <w:tc>
          <w:tcPr>
            <w:tcW w:w="1188" w:type="dxa"/>
            <w:tcBorders>
              <w:top w:val="single" w:sz="4" w:space="0" w:color="632523"/>
              <w:left w:val="nil"/>
              <w:bottom w:val="single" w:sz="4" w:space="0" w:color="C0504D"/>
              <w:right w:val="nil"/>
            </w:tcBorders>
            <w:shd w:val="clear" w:color="632523" w:fill="632523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</w:rPr>
            </w:pPr>
            <w:r w:rsidRPr="00E61BF3">
              <w:rPr>
                <w:rFonts w:ascii="Calibri" w:eastAsia="Times New Roman" w:hAnsi="Calibri" w:cs="Times New Roman"/>
                <w:b/>
                <w:bCs/>
                <w:color w:val="FFFFFF"/>
              </w:rPr>
              <w:t>Rep</w:t>
            </w:r>
          </w:p>
        </w:tc>
        <w:tc>
          <w:tcPr>
            <w:tcW w:w="1337" w:type="dxa"/>
            <w:tcBorders>
              <w:top w:val="single" w:sz="4" w:space="0" w:color="632523"/>
              <w:left w:val="nil"/>
              <w:bottom w:val="single" w:sz="4" w:space="0" w:color="C0504D"/>
              <w:right w:val="nil"/>
            </w:tcBorders>
            <w:shd w:val="clear" w:color="632523" w:fill="632523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</w:rPr>
            </w:pPr>
            <w:r w:rsidRPr="00E61BF3">
              <w:rPr>
                <w:rFonts w:ascii="Calibri" w:eastAsia="Times New Roman" w:hAnsi="Calibri" w:cs="Times New Roman"/>
                <w:b/>
                <w:bCs/>
                <w:color w:val="FFFFFF"/>
              </w:rPr>
              <w:t>Tucana Roast</w:t>
            </w:r>
          </w:p>
        </w:tc>
        <w:tc>
          <w:tcPr>
            <w:tcW w:w="973" w:type="dxa"/>
            <w:tcBorders>
              <w:top w:val="single" w:sz="4" w:space="0" w:color="632523"/>
              <w:left w:val="nil"/>
              <w:bottom w:val="single" w:sz="4" w:space="0" w:color="C0504D"/>
              <w:right w:val="nil"/>
            </w:tcBorders>
            <w:shd w:val="clear" w:color="632523" w:fill="632523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</w:rPr>
            </w:pPr>
            <w:r w:rsidRPr="00E61BF3">
              <w:rPr>
                <w:rFonts w:ascii="Calibri" w:eastAsia="Times New Roman" w:hAnsi="Calibri" w:cs="Times New Roman"/>
                <w:b/>
                <w:bCs/>
                <w:color w:val="FFFFFF"/>
              </w:rPr>
              <w:t>Indus Tea</w:t>
            </w:r>
          </w:p>
        </w:tc>
        <w:tc>
          <w:tcPr>
            <w:tcW w:w="1426" w:type="dxa"/>
            <w:tcBorders>
              <w:top w:val="single" w:sz="4" w:space="0" w:color="632523"/>
              <w:left w:val="nil"/>
              <w:bottom w:val="single" w:sz="4" w:space="0" w:color="C0504D"/>
              <w:right w:val="nil"/>
            </w:tcBorders>
            <w:shd w:val="clear" w:color="632523" w:fill="632523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</w:rPr>
            </w:pPr>
            <w:r w:rsidRPr="00E61BF3">
              <w:rPr>
                <w:rFonts w:ascii="Calibri" w:eastAsia="Times New Roman" w:hAnsi="Calibri" w:cs="Times New Roman"/>
                <w:b/>
                <w:bCs/>
                <w:color w:val="FFFFFF"/>
              </w:rPr>
              <w:t>Phoenix Roast</w:t>
            </w:r>
          </w:p>
        </w:tc>
        <w:tc>
          <w:tcPr>
            <w:tcW w:w="1169" w:type="dxa"/>
            <w:tcBorders>
              <w:top w:val="single" w:sz="4" w:space="0" w:color="632523"/>
              <w:left w:val="nil"/>
              <w:bottom w:val="single" w:sz="4" w:space="0" w:color="C0504D"/>
              <w:right w:val="nil"/>
            </w:tcBorders>
            <w:shd w:val="clear" w:color="632523" w:fill="632523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</w:rPr>
            </w:pPr>
            <w:r w:rsidRPr="00E61BF3">
              <w:rPr>
                <w:rFonts w:ascii="Calibri" w:eastAsia="Times New Roman" w:hAnsi="Calibri" w:cs="Times New Roman"/>
                <w:b/>
                <w:bCs/>
                <w:color w:val="FFFFFF"/>
              </w:rPr>
              <w:t>Vela Herbal</w:t>
            </w:r>
          </w:p>
        </w:tc>
        <w:tc>
          <w:tcPr>
            <w:tcW w:w="1187" w:type="dxa"/>
            <w:tcBorders>
              <w:top w:val="single" w:sz="4" w:space="0" w:color="632523"/>
              <w:left w:val="nil"/>
              <w:bottom w:val="single" w:sz="4" w:space="0" w:color="C0504D"/>
              <w:right w:val="nil"/>
            </w:tcBorders>
            <w:shd w:val="clear" w:color="632523" w:fill="632523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</w:rPr>
            </w:pPr>
            <w:r w:rsidRPr="00E61BF3">
              <w:rPr>
                <w:rFonts w:ascii="Calibri" w:eastAsia="Times New Roman" w:hAnsi="Calibri" w:cs="Times New Roman"/>
                <w:b/>
                <w:bCs/>
                <w:color w:val="FFFFFF"/>
              </w:rPr>
              <w:t>Grand Total</w:t>
            </w:r>
          </w:p>
        </w:tc>
      </w:tr>
      <w:tr w:rsidR="00E61BF3" w:rsidRPr="00E61BF3" w:rsidTr="00E61BF3">
        <w:trPr>
          <w:trHeight w:val="300"/>
        </w:trPr>
        <w:tc>
          <w:tcPr>
            <w:tcW w:w="1188" w:type="dxa"/>
            <w:tcBorders>
              <w:top w:val="single" w:sz="4" w:space="0" w:color="F2DCDB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Blackwell</w:t>
            </w:r>
          </w:p>
        </w:tc>
        <w:tc>
          <w:tcPr>
            <w:tcW w:w="1337" w:type="dxa"/>
            <w:tcBorders>
              <w:top w:val="single" w:sz="4" w:space="0" w:color="F2DCDB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$275</w:t>
            </w:r>
          </w:p>
        </w:tc>
        <w:tc>
          <w:tcPr>
            <w:tcW w:w="973" w:type="dxa"/>
            <w:tcBorders>
              <w:top w:val="single" w:sz="4" w:space="0" w:color="F2DCDB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$680</w:t>
            </w:r>
          </w:p>
        </w:tc>
        <w:tc>
          <w:tcPr>
            <w:tcW w:w="1426" w:type="dxa"/>
            <w:tcBorders>
              <w:top w:val="single" w:sz="4" w:space="0" w:color="F2DCDB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$940</w:t>
            </w:r>
          </w:p>
        </w:tc>
        <w:tc>
          <w:tcPr>
            <w:tcW w:w="1169" w:type="dxa"/>
            <w:tcBorders>
              <w:top w:val="single" w:sz="4" w:space="0" w:color="F2DCDB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$1,150</w:t>
            </w:r>
          </w:p>
        </w:tc>
        <w:tc>
          <w:tcPr>
            <w:tcW w:w="1187" w:type="dxa"/>
            <w:tcBorders>
              <w:top w:val="single" w:sz="4" w:space="0" w:color="F2DCDB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$3,046</w:t>
            </w:r>
          </w:p>
        </w:tc>
      </w:tr>
      <w:tr w:rsidR="00E61BF3" w:rsidRPr="00E61BF3" w:rsidTr="00E61BF3">
        <w:trPr>
          <w:trHeight w:val="300"/>
        </w:trPr>
        <w:tc>
          <w:tcPr>
            <w:tcW w:w="1188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Daniels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$1,596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$2,914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$2,164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$2,534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$9,207</w:t>
            </w:r>
          </w:p>
        </w:tc>
      </w:tr>
      <w:tr w:rsidR="00E61BF3" w:rsidRPr="00E61BF3" w:rsidTr="00E61BF3">
        <w:trPr>
          <w:trHeight w:val="300"/>
        </w:trPr>
        <w:tc>
          <w:tcPr>
            <w:tcW w:w="1188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Franklin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$3,938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$2,624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$2,770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$3,207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$12,539</w:t>
            </w:r>
          </w:p>
        </w:tc>
      </w:tr>
      <w:tr w:rsidR="00E61BF3" w:rsidRPr="00E61BF3" w:rsidTr="00E61BF3">
        <w:trPr>
          <w:trHeight w:val="300"/>
        </w:trPr>
        <w:tc>
          <w:tcPr>
            <w:tcW w:w="1188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Hernandez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$3,325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$2,852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$3,851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$5,572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$15,600</w:t>
            </w:r>
          </w:p>
        </w:tc>
      </w:tr>
      <w:tr w:rsidR="00E61BF3" w:rsidRPr="00E61BF3" w:rsidTr="00E61BF3">
        <w:trPr>
          <w:trHeight w:val="300"/>
        </w:trPr>
        <w:tc>
          <w:tcPr>
            <w:tcW w:w="1188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Lloyd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$5,072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$6,271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$5,891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$6,159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$23,392</w:t>
            </w:r>
          </w:p>
        </w:tc>
      </w:tr>
      <w:tr w:rsidR="00E61BF3" w:rsidRPr="00E61BF3" w:rsidTr="00E61BF3">
        <w:trPr>
          <w:trHeight w:val="300"/>
        </w:trPr>
        <w:tc>
          <w:tcPr>
            <w:tcW w:w="1188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McCanney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$3,618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$4,827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$4,646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$6,977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$20,067</w:t>
            </w:r>
          </w:p>
        </w:tc>
      </w:tr>
      <w:tr w:rsidR="00E61BF3" w:rsidRPr="00E61BF3" w:rsidTr="00E61BF3">
        <w:trPr>
          <w:trHeight w:val="300"/>
        </w:trPr>
        <w:tc>
          <w:tcPr>
            <w:tcW w:w="1188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Patterson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$1,843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$1,400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$1,586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$2,284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$7,113</w:t>
            </w:r>
          </w:p>
        </w:tc>
      </w:tr>
      <w:tr w:rsidR="00E61BF3" w:rsidRPr="00E61BF3" w:rsidTr="00E61BF3">
        <w:trPr>
          <w:trHeight w:val="300"/>
        </w:trPr>
        <w:tc>
          <w:tcPr>
            <w:tcW w:w="1188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Sanchez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$4,055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$2,262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$3,958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$2,631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$12,905</w:t>
            </w:r>
          </w:p>
        </w:tc>
      </w:tr>
      <w:tr w:rsidR="00E61BF3" w:rsidRPr="00E61BF3" w:rsidTr="00E61BF3">
        <w:trPr>
          <w:trHeight w:val="300"/>
        </w:trPr>
        <w:tc>
          <w:tcPr>
            <w:tcW w:w="1188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Schiller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$4,766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$4,756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$4,765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$4,955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$19,240</w:t>
            </w:r>
          </w:p>
        </w:tc>
      </w:tr>
      <w:tr w:rsidR="00E61BF3" w:rsidRPr="00E61BF3" w:rsidTr="00E61BF3">
        <w:trPr>
          <w:trHeight w:val="300"/>
        </w:trPr>
        <w:tc>
          <w:tcPr>
            <w:tcW w:w="1188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Westlein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$4,488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$4,164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$3,832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$4,361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F2DCDB"/>
              <w:right w:val="nil"/>
            </w:tcBorders>
            <w:shd w:val="clear" w:color="E6B8B7" w:fill="E6B8B7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1BF3">
              <w:rPr>
                <w:rFonts w:ascii="Calibri" w:eastAsia="Times New Roman" w:hAnsi="Calibri" w:cs="Times New Roman"/>
                <w:color w:val="000000"/>
              </w:rPr>
              <w:t>$16,846</w:t>
            </w:r>
          </w:p>
        </w:tc>
      </w:tr>
      <w:tr w:rsidR="00E61BF3" w:rsidRPr="00E61BF3" w:rsidTr="00E61BF3">
        <w:trPr>
          <w:trHeight w:val="300"/>
        </w:trPr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632523" w:fill="632523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</w:rPr>
            </w:pPr>
            <w:r w:rsidRPr="00E61BF3">
              <w:rPr>
                <w:rFonts w:ascii="Calibri" w:eastAsia="Times New Roman" w:hAnsi="Calibri" w:cs="Times New Roman"/>
                <w:b/>
                <w:bCs/>
                <w:color w:val="FFFFFF"/>
              </w:rPr>
              <w:t>Grand Total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632523" w:fill="632523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FFFF"/>
              </w:rPr>
            </w:pPr>
            <w:r w:rsidRPr="00E61BF3">
              <w:rPr>
                <w:rFonts w:ascii="Calibri" w:eastAsia="Times New Roman" w:hAnsi="Calibri" w:cs="Times New Roman"/>
                <w:b/>
                <w:bCs/>
                <w:color w:val="FFFFFF"/>
              </w:rPr>
              <w:t>$32,975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632523" w:fill="632523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FFFF"/>
              </w:rPr>
            </w:pPr>
            <w:r w:rsidRPr="00E61BF3">
              <w:rPr>
                <w:rFonts w:ascii="Calibri" w:eastAsia="Times New Roman" w:hAnsi="Calibri" w:cs="Times New Roman"/>
                <w:b/>
                <w:bCs/>
                <w:color w:val="FFFFFF"/>
              </w:rPr>
              <w:t>$32,749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632523" w:fill="632523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FFFF"/>
              </w:rPr>
            </w:pPr>
            <w:r w:rsidRPr="00E61BF3">
              <w:rPr>
                <w:rFonts w:ascii="Calibri" w:eastAsia="Times New Roman" w:hAnsi="Calibri" w:cs="Times New Roman"/>
                <w:b/>
                <w:bCs/>
                <w:color w:val="FFFFFF"/>
              </w:rPr>
              <w:t>$34,402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632523" w:fill="632523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FFFF"/>
              </w:rPr>
            </w:pPr>
            <w:r w:rsidRPr="00E61BF3">
              <w:rPr>
                <w:rFonts w:ascii="Calibri" w:eastAsia="Times New Roman" w:hAnsi="Calibri" w:cs="Times New Roman"/>
                <w:b/>
                <w:bCs/>
                <w:color w:val="FFFFFF"/>
              </w:rPr>
              <w:t>$39,829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632523" w:fill="632523"/>
            <w:noWrap/>
            <w:vAlign w:val="bottom"/>
            <w:hideMark/>
          </w:tcPr>
          <w:p w:rsidR="00E61BF3" w:rsidRPr="00E61BF3" w:rsidRDefault="00E61BF3" w:rsidP="00E61BF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FFFF"/>
              </w:rPr>
            </w:pPr>
            <w:r w:rsidRPr="00E61BF3">
              <w:rPr>
                <w:rFonts w:ascii="Calibri" w:eastAsia="Times New Roman" w:hAnsi="Calibri" w:cs="Times New Roman"/>
                <w:b/>
                <w:bCs/>
                <w:color w:val="FFFFFF"/>
              </w:rPr>
              <w:t>$139,955</w:t>
            </w:r>
          </w:p>
        </w:tc>
      </w:tr>
    </w:tbl>
    <w:p w:rsidR="00E61BF3" w:rsidRDefault="00E61BF3"/>
    <w:p w:rsidR="00C2418C" w:rsidRDefault="00C2418C">
      <w:r>
        <w:t xml:space="preserve">The regional </w:t>
      </w:r>
      <w:r w:rsidR="002626B4">
        <w:t>view’s</w:t>
      </w:r>
      <w:r>
        <w:t xml:space="preserve"> even more interesting. International sales were very strong last year.</w:t>
      </w:r>
    </w:p>
    <w:p w:rsidR="00E61BF3" w:rsidRDefault="00C2418C">
      <w:r>
        <w:rPr>
          <w:noProof/>
          <w:lang w:bidi="sa-IN"/>
        </w:rPr>
        <w:drawing>
          <wp:inline distT="0" distB="0" distL="0" distR="0" wp14:anchorId="7A99C1A5" wp14:editId="57956CCE">
            <wp:extent cx="4572000" cy="2743200"/>
            <wp:effectExtent l="0" t="0" r="19050" b="1905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E61B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BF3"/>
    <w:rsid w:val="00147580"/>
    <w:rsid w:val="002626B4"/>
    <w:rsid w:val="00A4441B"/>
    <w:rsid w:val="00C2418C"/>
    <w:rsid w:val="00E61BF3"/>
    <w:rsid w:val="00ED0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38A3EDB-3024-4900-AD42-6CBAB2FC3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41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41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9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Work\30Bird\Invoice%20Data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[Invoice Data.xlsx]Reps!PivotTable1</c:name>
    <c:fmtId val="-1"/>
  </c:pivotSource>
  <c:chart>
    <c:autoTitleDeleted val="0"/>
    <c:pivotFmts>
      <c:pivotFmt>
        <c:idx val="0"/>
        <c:marker>
          <c:symbol val="none"/>
        </c:marker>
      </c:pivotFmt>
      <c:pivotFmt>
        <c:idx val="1"/>
        <c:marker>
          <c:symbol val="none"/>
        </c:marker>
      </c:pivotFmt>
      <c:pivotFmt>
        <c:idx val="2"/>
        <c:marker>
          <c:symbol val="none"/>
        </c:marker>
      </c:pivotFmt>
      <c:pivotFmt>
        <c:idx val="3"/>
        <c:marker>
          <c:symbol val="none"/>
        </c:marker>
      </c:pivotFmt>
      <c:pivotFmt>
        <c:idx val="4"/>
        <c:marker>
          <c:symbol val="none"/>
        </c:marker>
      </c:pivotFmt>
      <c:pivotFmt>
        <c:idx val="5"/>
        <c:marker>
          <c:symbol val="none"/>
        </c:marker>
      </c:pivotFmt>
      <c:pivotFmt>
        <c:idx val="6"/>
        <c:marker>
          <c:symbol val="none"/>
        </c:marker>
      </c:pivotFmt>
      <c:pivotFmt>
        <c:idx val="7"/>
        <c:marker>
          <c:symbol val="none"/>
        </c:marker>
      </c:pivotFmt>
      <c:pivotFmt>
        <c:idx val="8"/>
        <c:marker>
          <c:symbol val="none"/>
        </c:marker>
      </c:pivotFmt>
      <c:pivotFmt>
        <c:idx val="9"/>
        <c:marker>
          <c:symbol val="none"/>
        </c:marker>
      </c:pivotFmt>
      <c:pivotFmt>
        <c:idx val="10"/>
        <c:marker>
          <c:symbol val="none"/>
        </c:marker>
      </c:pivotFmt>
      <c:pivotFmt>
        <c:idx val="11"/>
        <c:marker>
          <c:symbol val="none"/>
        </c:marker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Reps!$B$3:$B$4</c:f>
              <c:strCache>
                <c:ptCount val="1"/>
                <c:pt idx="0">
                  <c:v>Tucana Roast</c:v>
                </c:pt>
              </c:strCache>
            </c:strRef>
          </c:tx>
          <c:invertIfNegative val="0"/>
          <c:cat>
            <c:strRef>
              <c:f>Reps!$A$5:$A$8</c:f>
              <c:strCache>
                <c:ptCount val="3"/>
                <c:pt idx="0">
                  <c:v>Eurozone</c:v>
                </c:pt>
                <c:pt idx="1">
                  <c:v>International</c:v>
                </c:pt>
                <c:pt idx="2">
                  <c:v>US</c:v>
                </c:pt>
              </c:strCache>
            </c:strRef>
          </c:cat>
          <c:val>
            <c:numRef>
              <c:f>Reps!$B$5:$B$8</c:f>
              <c:numCache>
                <c:formatCode>_("$"* #,##0_);_("$"* \(#,##0\);_("$"* "-"??_);_(@_)</c:formatCode>
                <c:ptCount val="3"/>
                <c:pt idx="0">
                  <c:v>16083.000000000002</c:v>
                </c:pt>
                <c:pt idx="1">
                  <c:v>8964.8999999999978</c:v>
                </c:pt>
                <c:pt idx="2">
                  <c:v>7927.199999999998</c:v>
                </c:pt>
              </c:numCache>
            </c:numRef>
          </c:val>
        </c:ser>
        <c:ser>
          <c:idx val="1"/>
          <c:order val="1"/>
          <c:tx>
            <c:strRef>
              <c:f>Reps!$C$3:$C$4</c:f>
              <c:strCache>
                <c:ptCount val="1"/>
                <c:pt idx="0">
                  <c:v>Indus Tea</c:v>
                </c:pt>
              </c:strCache>
            </c:strRef>
          </c:tx>
          <c:invertIfNegative val="0"/>
          <c:cat>
            <c:strRef>
              <c:f>Reps!$A$5:$A$8</c:f>
              <c:strCache>
                <c:ptCount val="3"/>
                <c:pt idx="0">
                  <c:v>Eurozone</c:v>
                </c:pt>
                <c:pt idx="1">
                  <c:v>International</c:v>
                </c:pt>
                <c:pt idx="2">
                  <c:v>US</c:v>
                </c:pt>
              </c:strCache>
            </c:strRef>
          </c:cat>
          <c:val>
            <c:numRef>
              <c:f>Reps!$C$5:$C$8</c:f>
              <c:numCache>
                <c:formatCode>_("$"* #,##0_);_("$"* \(#,##0\);_("$"* "-"??_);_(@_)</c:formatCode>
                <c:ptCount val="3"/>
                <c:pt idx="0">
                  <c:v>12492.899999999996</c:v>
                </c:pt>
                <c:pt idx="1">
                  <c:v>11778.300000000005</c:v>
                </c:pt>
                <c:pt idx="2">
                  <c:v>8478.0000000000018</c:v>
                </c:pt>
              </c:numCache>
            </c:numRef>
          </c:val>
        </c:ser>
        <c:ser>
          <c:idx val="2"/>
          <c:order val="2"/>
          <c:tx>
            <c:strRef>
              <c:f>Reps!$D$3:$D$4</c:f>
              <c:strCache>
                <c:ptCount val="1"/>
                <c:pt idx="0">
                  <c:v>Phoenix Roast</c:v>
                </c:pt>
              </c:strCache>
            </c:strRef>
          </c:tx>
          <c:invertIfNegative val="0"/>
          <c:cat>
            <c:strRef>
              <c:f>Reps!$A$5:$A$8</c:f>
              <c:strCache>
                <c:ptCount val="3"/>
                <c:pt idx="0">
                  <c:v>Eurozone</c:v>
                </c:pt>
                <c:pt idx="1">
                  <c:v>International</c:v>
                </c:pt>
                <c:pt idx="2">
                  <c:v>US</c:v>
                </c:pt>
              </c:strCache>
            </c:strRef>
          </c:cat>
          <c:val>
            <c:numRef>
              <c:f>Reps!$D$5:$D$8</c:f>
              <c:numCache>
                <c:formatCode>_("$"* #,##0_);_("$"* \(#,##0\);_("$"* "-"??_);_(@_)</c:formatCode>
                <c:ptCount val="3"/>
                <c:pt idx="0">
                  <c:v>15344.099999999999</c:v>
                </c:pt>
                <c:pt idx="1">
                  <c:v>11475.900000000003</c:v>
                </c:pt>
                <c:pt idx="2">
                  <c:v>7581.5999999999995</c:v>
                </c:pt>
              </c:numCache>
            </c:numRef>
          </c:val>
        </c:ser>
        <c:ser>
          <c:idx val="3"/>
          <c:order val="3"/>
          <c:tx>
            <c:strRef>
              <c:f>Reps!$E$3:$E$4</c:f>
              <c:strCache>
                <c:ptCount val="1"/>
                <c:pt idx="0">
                  <c:v>Vela Herbal</c:v>
                </c:pt>
              </c:strCache>
            </c:strRef>
          </c:tx>
          <c:invertIfNegative val="0"/>
          <c:cat>
            <c:strRef>
              <c:f>Reps!$A$5:$A$8</c:f>
              <c:strCache>
                <c:ptCount val="3"/>
                <c:pt idx="0">
                  <c:v>Eurozone</c:v>
                </c:pt>
                <c:pt idx="1">
                  <c:v>International</c:v>
                </c:pt>
                <c:pt idx="2">
                  <c:v>US</c:v>
                </c:pt>
              </c:strCache>
            </c:strRef>
          </c:cat>
          <c:val>
            <c:numRef>
              <c:f>Reps!$E$5:$E$8</c:f>
              <c:numCache>
                <c:formatCode>_("$"* #,##0_);_("$"* \(#,##0\);_("$"* "-"??_);_(@_)</c:formatCode>
                <c:ptCount val="3"/>
                <c:pt idx="0">
                  <c:v>16363.799999999997</c:v>
                </c:pt>
                <c:pt idx="1">
                  <c:v>14285.699999999999</c:v>
                </c:pt>
                <c:pt idx="2">
                  <c:v>9179.1000000000022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2030549168"/>
        <c:axId val="-2030546448"/>
      </c:barChart>
      <c:catAx>
        <c:axId val="-203054916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-2030546448"/>
        <c:crosses val="autoZero"/>
        <c:auto val="1"/>
        <c:lblAlgn val="ctr"/>
        <c:lblOffset val="100"/>
        <c:noMultiLvlLbl val="0"/>
      </c:catAx>
      <c:valAx>
        <c:axId val="-2030546448"/>
        <c:scaling>
          <c:orientation val="minMax"/>
        </c:scaling>
        <c:delete val="0"/>
        <c:axPos val="l"/>
        <c:majorGridlines/>
        <c:numFmt formatCode="_(&quot;$&quot;* #,##0_);_(&quot;$&quot;* \(#,##0\);_(&quot;$&quot;* &quot;-&quot;??_);_(@_)" sourceLinked="1"/>
        <c:majorTickMark val="out"/>
        <c:minorTickMark val="none"/>
        <c:tickLblPos val="nextTo"/>
        <c:crossAx val="-203054916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eries val="1"/>
        <c14:dropZonesVisible val="1"/>
      </c14:pivotOptions>
    </c:ext>
  </c:extLst>
</c:chartSpace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Grid">
  <a:themeElements>
    <a:clrScheme name="Grid">
      <a:dk1>
        <a:sysClr val="windowText" lastClr="000000"/>
      </a:dk1>
      <a:lt1>
        <a:sysClr val="window" lastClr="FFFFFF"/>
      </a:lt1>
      <a:dk2>
        <a:srgbClr val="534949"/>
      </a:dk2>
      <a:lt2>
        <a:srgbClr val="CCD1B9"/>
      </a:lt2>
      <a:accent1>
        <a:srgbClr val="C66951"/>
      </a:accent1>
      <a:accent2>
        <a:srgbClr val="BF974D"/>
      </a:accent2>
      <a:accent3>
        <a:srgbClr val="928B70"/>
      </a:accent3>
      <a:accent4>
        <a:srgbClr val="87706B"/>
      </a:accent4>
      <a:accent5>
        <a:srgbClr val="94734E"/>
      </a:accent5>
      <a:accent6>
        <a:srgbClr val="6F777D"/>
      </a:accent6>
      <a:hlink>
        <a:srgbClr val="CC9900"/>
      </a:hlink>
      <a:folHlink>
        <a:srgbClr val="C0C0C0"/>
      </a:folHlink>
    </a:clrScheme>
    <a:fontScheme name="Grid">
      <a:majorFont>
        <a:latin typeface="Franklin Gothic Medium"/>
        <a:ea typeface=""/>
        <a:cs typeface=""/>
        <a:font script="Jpan" typeface="HG創英角ｺﾞｼｯｸUB"/>
        <a:font script="Hang" typeface="HY견고딕"/>
        <a:font script="Hans" typeface="微软雅黑"/>
        <a:font script="Hant" typeface="微軟正黑體"/>
        <a:font script="Arab" typeface="Arial Bold"/>
        <a:font script="Hebr" typeface="Arial Bold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 Bold"/>
        <a:font script="Uigh" typeface="Microsoft Uighur"/>
        <a:font script="Geor" typeface="Sylfaen"/>
      </a:majorFont>
      <a:minorFont>
        <a:latin typeface="Franklin Gothic Medium"/>
        <a:ea typeface=""/>
        <a:cs typeface=""/>
        <a:font script="Jpan" typeface="HG創英角ｺﾞｼｯｸUB"/>
        <a:font script="Hang" typeface="HY견고딕"/>
        <a:font script="Hans" typeface="微软雅黑"/>
        <a:font script="Hant" typeface="微軟正黑體"/>
        <a:font script="Arab" typeface="Arial Bold"/>
        <a:font script="Hebr" typeface="Arial Bold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 Bold"/>
        <a:font script="Uigh" typeface="Microsoft Uighur"/>
        <a:font script="Geor" typeface="Sylfaen"/>
      </a:minorFont>
    </a:fontScheme>
    <a:fmtScheme name="Grid">
      <a:fillStyleLst>
        <a:solidFill>
          <a:schemeClr val="phClr"/>
        </a:solidFill>
        <a:solidFill>
          <a:schemeClr val="phClr">
            <a:tint val="50000"/>
          </a:schemeClr>
        </a:solidFill>
        <a:gradFill rotWithShape="1">
          <a:gsLst>
            <a:gs pos="0">
              <a:schemeClr val="phClr"/>
            </a:gs>
            <a:gs pos="90000">
              <a:schemeClr val="phClr">
                <a:shade val="100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47625" cap="flat" cmpd="dbl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175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brightRoom" dir="t"/>
          </a:scene3d>
          <a:sp3d extrusionH="12700" contourW="25400" prstMaterial="flat">
            <a:bevelT w="63500" h="152400" prst="angle"/>
            <a:contourClr>
              <a:schemeClr val="phClr">
                <a:shade val="3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0000"/>
            <a:shade val="93000"/>
            <a:satMod val="15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</a:schemeClr>
              <a:schemeClr val="phClr">
                <a:shade val="93000"/>
                <a:satMod val="11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Axzo Press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Clifford J. Coryea</dc:creator>
  <cp:lastModifiedBy>RK</cp:lastModifiedBy>
  <cp:revision>2</cp:revision>
  <dcterms:created xsi:type="dcterms:W3CDTF">2015-11-23T14:37:00Z</dcterms:created>
  <dcterms:modified xsi:type="dcterms:W3CDTF">2015-11-23T14:37:00Z</dcterms:modified>
</cp:coreProperties>
</file>